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內文 A"/>
        <w:jc w:val="center"/>
        <w:rPr>
          <w:rFonts w:ascii="標楷體-繁" w:cs="標楷體-繁" w:hAnsi="標楷體-繁" w:eastAsia="標楷體-繁"/>
          <w:sz w:val="32"/>
          <w:szCs w:val="32"/>
        </w:rPr>
      </w:pPr>
      <w:r>
        <w:rPr>
          <w:rFonts w:eastAsia="標楷體-繁" w:hint="eastAsia"/>
          <w:sz w:val="32"/>
          <w:szCs w:val="32"/>
          <w:rtl w:val="0"/>
          <w:lang w:val="zh-TW" w:eastAsia="zh-TW"/>
        </w:rPr>
        <w:t>桃園市光明國小</w:t>
      </w:r>
      <w:r>
        <w:rPr>
          <w:rFonts w:ascii="標楷體-繁" w:hAnsi="標楷體-繁"/>
          <w:sz w:val="32"/>
          <w:szCs w:val="32"/>
          <w:rtl w:val="0"/>
          <w:lang w:val="en-US"/>
        </w:rPr>
        <w:t>115</w:t>
      </w:r>
      <w:r>
        <w:rPr>
          <w:rFonts w:eastAsia="標楷體-繁" w:hint="eastAsia"/>
          <w:sz w:val="32"/>
          <w:szCs w:val="32"/>
          <w:rtl w:val="0"/>
          <w:lang w:val="zh-TW" w:eastAsia="zh-TW"/>
        </w:rPr>
        <w:t>學年度（上）社團申請表</w:t>
      </w:r>
    </w:p>
    <w:tbl>
      <w:tblPr>
        <w:tblW w:w="906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63"/>
        <w:gridCol w:w="3298"/>
        <w:gridCol w:w="3299"/>
      </w:tblGrid>
      <w:tr>
        <w:tblPrEx>
          <w:shd w:val="clear" w:color="auto" w:fill="ced7e7"/>
        </w:tblPrEx>
        <w:trPr>
          <w:trHeight w:val="691" w:hRule="atLeast"/>
        </w:trPr>
        <w:tc>
          <w:tcPr>
            <w:tcW w:type="dxa" w:w="2463"/>
            <w:tcBorders>
              <w:top w:val="single" w:color="000000" w:sz="12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社團名稱</w:t>
            </w:r>
          </w:p>
        </w:tc>
        <w:tc>
          <w:tcPr>
            <w:tcW w:type="dxa" w:w="6597"/>
            <w:gridSpan w:val="2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</w:pPr>
            <w:r>
              <w:rPr>
                <w:rFonts w:eastAsia="標楷體-繁" w:hint="eastAsia"/>
                <w:sz w:val="28"/>
                <w:szCs w:val="28"/>
                <w:rtl w:val="0"/>
                <w:lang w:val="zh-TW" w:eastAsia="zh-TW"/>
              </w:rPr>
              <w:t>小小巴菲特理財遊戲</w:t>
            </w: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社</w:t>
            </w:r>
          </w:p>
        </w:tc>
      </w:tr>
      <w:tr>
        <w:tblPrEx>
          <w:shd w:val="clear" w:color="auto" w:fill="ced7e7"/>
        </w:tblPrEx>
        <w:trPr>
          <w:trHeight w:val="691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授課教師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蕭美雲、邵美慧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463"/>
            <w:vMerge w:val="restart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招生對象</w:t>
            </w:r>
          </w:p>
        </w:tc>
        <w:tc>
          <w:tcPr>
            <w:tcW w:type="dxa" w:w="329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</w:pPr>
            <w:r>
              <w:rPr>
                <w:rFonts w:ascii="標楷體-繁" w:hAnsi="標楷體-繁"/>
                <w:sz w:val="26"/>
                <w:szCs w:val="26"/>
                <w:rtl w:val="0"/>
                <w:lang w:val="en-US"/>
              </w:rPr>
              <w:t>2</w:t>
            </w:r>
            <w:r>
              <w:rPr>
                <w:rFonts w:ascii="標楷體-繁" w:hAnsi="標楷體-繁"/>
                <w:sz w:val="26"/>
                <w:szCs w:val="26"/>
                <w:rtl w:val="0"/>
                <w:lang w:val="en-US"/>
              </w:rPr>
              <w:t>~</w:t>
            </w:r>
            <w:r>
              <w:rPr>
                <w:rFonts w:ascii="標楷體-繁" w:hAnsi="標楷體-繁"/>
                <w:sz w:val="26"/>
                <w:szCs w:val="26"/>
                <w:rtl w:val="0"/>
                <w:lang w:val="en-US"/>
              </w:rPr>
              <w:t>6</w:t>
            </w:r>
            <w:r>
              <w:rPr>
                <w:rFonts w:ascii="標楷體-繁" w:hAnsi="標楷體-繁"/>
                <w:sz w:val="26"/>
                <w:szCs w:val="26"/>
                <w:rtl w:val="0"/>
                <w:lang w:val="en-US"/>
              </w:rPr>
              <w:t xml:space="preserve">    </w:t>
            </w:r>
            <w:r>
              <w:rPr>
                <w:rFonts w:eastAsia="標楷體-繁" w:hint="eastAsia"/>
                <w:sz w:val="26"/>
                <w:szCs w:val="26"/>
                <w:rtl w:val="0"/>
                <w:lang w:val="zh-TW" w:eastAsia="zh-TW"/>
              </w:rPr>
              <w:t>年級</w:t>
            </w:r>
            <w:r>
              <w:rPr>
                <w:rFonts w:ascii="標楷體-繁" w:hAnsi="標楷體-繁"/>
                <w:sz w:val="26"/>
                <w:szCs w:val="26"/>
                <w:rtl w:val="0"/>
                <w:lang w:val="en-US"/>
              </w:rPr>
              <w:t xml:space="preserve">  </w:t>
            </w:r>
          </w:p>
        </w:tc>
        <w:tc>
          <w:tcPr>
            <w:tcW w:type="dxa" w:w="32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</w:pPr>
            <w:r>
              <w:rPr>
                <w:rFonts w:ascii="標楷體-繁" w:hAnsi="標楷體-繁"/>
                <w:sz w:val="26"/>
                <w:szCs w:val="26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eastAsia="標楷體-繁" w:hint="eastAsia"/>
                <w:sz w:val="26"/>
                <w:szCs w:val="26"/>
                <w:shd w:val="nil" w:color="auto" w:fill="auto"/>
                <w:rtl w:val="0"/>
                <w:lang w:val="zh-TW" w:eastAsia="zh-TW"/>
              </w:rPr>
              <w:t>最少招生名額為</w:t>
            </w:r>
            <w:r>
              <w:rPr>
                <w:rFonts w:ascii="標楷體-繁" w:hAnsi="標楷體-繁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10   </w:t>
            </w:r>
            <w:r>
              <w:rPr>
                <w:rFonts w:eastAsia="標楷體-繁" w:hint="eastAsia"/>
                <w:sz w:val="26"/>
                <w:szCs w:val="26"/>
                <w:shd w:val="nil" w:color="auto" w:fill="auto"/>
                <w:rtl w:val="0"/>
                <w:lang w:val="zh-TW" w:eastAsia="zh-TW"/>
              </w:rPr>
              <w:t>人</w:t>
            </w:r>
            <w:r>
              <w:rPr>
                <w:rFonts w:ascii="標楷體-繁" w:hAnsi="標楷體-繁"/>
                <w:sz w:val="26"/>
                <w:szCs w:val="26"/>
                <w:shd w:val="nil" w:color="auto" w:fill="auto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463"/>
            <w:vMerge w:val="continue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9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2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ascii="標楷體-繁" w:hAnsi="標楷體-繁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eastAsia="標楷體-繁" w:hint="eastAsia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zh-TW" w:eastAsia="zh-TW"/>
                <w14:textFill>
                  <w14:solidFill>
                    <w14:srgbClr w14:val="000000"/>
                  </w14:solidFill>
                </w14:textFill>
              </w:rPr>
              <w:t>最多招生名額為</w:t>
            </w:r>
            <w:r>
              <w:rPr>
                <w:rFonts w:ascii="標楷體-繁" w:hAnsi="標楷體-繁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標楷體-繁" w:hAnsi="標楷體-繁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0</w:t>
            </w:r>
            <w:r>
              <w:rPr>
                <w:rFonts w:ascii="標楷體-繁" w:hAnsi="標楷體-繁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rFonts w:eastAsia="標楷體-繁" w:hint="eastAsia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zh-TW" w:eastAsia="zh-TW"/>
                <w14:textFill>
                  <w14:solidFill>
                    <w14:srgbClr w14:val="000000"/>
                  </w14:solidFill>
                </w14:textFill>
              </w:rPr>
              <w:t>人</w:t>
            </w:r>
            <w:r>
              <w:rPr>
                <w:rFonts w:ascii="標楷體-繁" w:hAnsi="標楷體-繁"/>
                <w:outline w:val="0"/>
                <w:color w:val="000000"/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688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收費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center"/>
          </w:tcPr>
          <w:p>
            <w:pPr>
              <w:pStyle w:val="內文 A"/>
              <w:ind w:left="360" w:firstLine="0"/>
              <w:jc w:val="both"/>
            </w:pPr>
            <w:r>
              <w:rPr>
                <w:rFonts w:eastAsia="標楷體-繁" w:hint="eastAsia"/>
                <w:sz w:val="28"/>
                <w:szCs w:val="28"/>
                <w:rtl w:val="0"/>
                <w:lang w:val="zh-TW" w:eastAsia="zh-TW"/>
              </w:rPr>
              <w:t xml:space="preserve">每生 </w:t>
            </w:r>
            <w:r>
              <w:rPr>
                <w:rFonts w:ascii="標楷體-繁" w:hAnsi="標楷體-繁"/>
                <w:sz w:val="28"/>
                <w:szCs w:val="28"/>
                <w:rtl w:val="0"/>
                <w:lang w:val="zh-TW" w:eastAsia="zh-TW"/>
              </w:rPr>
              <w:t>2,500</w:t>
            </w:r>
            <w:r>
              <w:rPr>
                <w:rFonts w:eastAsia="標楷體-繁" w:hint="eastAsia"/>
                <w:sz w:val="28"/>
                <w:szCs w:val="28"/>
                <w:rtl w:val="0"/>
                <w:lang w:val="zh-TW" w:eastAsia="zh-TW"/>
              </w:rPr>
              <w:t xml:space="preserve">  元內含材料費</w:t>
            </w:r>
            <w:r>
              <w:rPr>
                <w:rFonts w:ascii="標楷體-繁" w:hAnsi="標楷體-繁"/>
                <w:sz w:val="28"/>
                <w:szCs w:val="28"/>
                <w:rtl w:val="0"/>
                <w:lang w:val="zh-TW" w:eastAsia="zh-TW"/>
              </w:rPr>
              <w:t>300</w:t>
            </w:r>
            <w:r>
              <w:rPr>
                <w:rFonts w:eastAsia="標楷體-繁" w:hint="eastAsia"/>
                <w:sz w:val="28"/>
                <w:szCs w:val="28"/>
                <w:rtl w:val="0"/>
                <w:lang w:val="zh-TW" w:eastAsia="zh-TW"/>
              </w:rPr>
              <w:t>元</w:t>
            </w:r>
          </w:p>
        </w:tc>
      </w:tr>
      <w:tr>
        <w:tblPrEx>
          <w:shd w:val="clear" w:color="auto" w:fill="ced7e7"/>
        </w:tblPrEx>
        <w:trPr>
          <w:trHeight w:val="687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上課所需設備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投影設備、放置教具區</w:t>
            </w:r>
          </w:p>
        </w:tc>
      </w:tr>
      <w:tr>
        <w:tblPrEx>
          <w:shd w:val="clear" w:color="auto" w:fill="ced7e7"/>
        </w:tblPrEx>
        <w:trPr>
          <w:trHeight w:val="691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上課時間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</w:pP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>如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: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>週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>三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 xml:space="preserve">：下午 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1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2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 xml:space="preserve">  點 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40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 xml:space="preserve">  分至 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1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4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 xml:space="preserve">  點 </w:t>
            </w:r>
            <w:r>
              <w:rPr>
                <w:rFonts w:ascii="標楷體-繁" w:hAnsi="標楷體-繁"/>
                <w:sz w:val="28"/>
                <w:szCs w:val="28"/>
                <w:u w:val="none"/>
                <w:rtl w:val="0"/>
                <w:lang w:val="en-US"/>
              </w:rPr>
              <w:t>10</w:t>
            </w:r>
            <w:r>
              <w:rPr>
                <w:rFonts w:eastAsia="標楷體-繁" w:hint="eastAsia"/>
                <w:sz w:val="28"/>
                <w:szCs w:val="28"/>
                <w:u w:val="none"/>
                <w:rtl w:val="0"/>
                <w:lang w:val="zh-TW" w:eastAsia="zh-TW"/>
              </w:rPr>
              <w:t xml:space="preserve">  分</w:t>
            </w:r>
          </w:p>
        </w:tc>
      </w:tr>
      <w:tr>
        <w:tblPrEx>
          <w:shd w:val="clear" w:color="auto" w:fill="ced7e7"/>
        </w:tblPrEx>
        <w:trPr>
          <w:trHeight w:val="691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上課地點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rtl w:val="0"/>
                <w:lang w:val="zh-TW" w:eastAsia="zh-TW"/>
              </w:rPr>
              <w:t>光明國小教室</w:t>
            </w:r>
          </w:p>
        </w:tc>
      </w:tr>
      <w:tr>
        <w:tblPrEx>
          <w:shd w:val="clear" w:color="auto" w:fill="ced7e7"/>
        </w:tblPrEx>
        <w:trPr>
          <w:trHeight w:val="2542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開課主旨</w:t>
            </w:r>
            <w:r>
              <w:rPr>
                <w:rFonts w:ascii="標楷體-繁" w:cs="標楷體-繁" w:hAnsi="標楷體-繁" w:eastAsia="標楷體-繁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widowControl w:val="1"/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480"/>
              </w:tabs>
              <w:spacing w:before="100" w:after="100" w:line="288" w:lineRule="auto"/>
            </w:pPr>
            <w:r>
              <w:rPr>
                <w:rFonts w:ascii="新細明體" w:cs="新細明體" w:hAnsi="新細明體" w:eastAsia="新細明體" w:hint="eastAsia"/>
                <w:kern w:val="0"/>
                <w:position w:val="0"/>
                <w:sz w:val="28"/>
                <w:szCs w:val="28"/>
                <w:u w:color="ff0000"/>
                <w:rtl w:val="0"/>
                <w:lang w:val="zh-TW" w:eastAsia="zh-TW"/>
              </w:rPr>
              <w:t>國小階段不少學生有零用錢</w:t>
            </w:r>
            <w:r>
              <w:rPr>
                <w:rFonts w:ascii="新細明體" w:cs="新細明體" w:hAnsi="新細明體" w:eastAsia="新細明體" w:hint="eastAsia"/>
                <w:kern w:val="0"/>
                <w:position w:val="0"/>
                <w:sz w:val="28"/>
                <w:szCs w:val="28"/>
                <w:rtl w:val="0"/>
                <w:lang w:val="zh-TW" w:eastAsia="zh-TW"/>
              </w:rPr>
              <w:t>，或是對錢的使用開始產生好奇。透過系統性的</w:t>
            </w:r>
            <w:r>
              <w:rPr>
                <w:rFonts w:ascii="新細明體" w:cs="新細明體" w:hAnsi="新細明體" w:eastAsia="新細明體" w:hint="eastAsia"/>
                <w:kern w:val="0"/>
                <w:position w:val="0"/>
                <w:sz w:val="28"/>
                <w:szCs w:val="28"/>
                <w:rtl w:val="0"/>
                <w:lang w:val="zh-TW" w:eastAsia="zh-TW"/>
              </w:rPr>
              <w:t>遊戲化</w:t>
            </w:r>
            <w:r>
              <w:rPr>
                <w:rFonts w:ascii="新細明體" w:cs="新細明體" w:hAnsi="新細明體" w:eastAsia="新細明體" w:hint="eastAsia"/>
                <w:kern w:val="0"/>
                <w:position w:val="0"/>
                <w:sz w:val="28"/>
                <w:szCs w:val="28"/>
                <w:rtl w:val="0"/>
                <w:lang w:val="zh-TW" w:eastAsia="zh-TW"/>
              </w:rPr>
              <w:t>教學及好玩的理財桌遊，讓學生在歡樂的環境下，更懂得如何管理零用錢及提升金錢素養。</w:t>
            </w:r>
          </w:p>
        </w:tc>
      </w:tr>
      <w:tr>
        <w:tblPrEx>
          <w:shd w:val="clear" w:color="auto" w:fill="ced7e7"/>
        </w:tblPrEx>
        <w:trPr>
          <w:trHeight w:val="2807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課程內容簡介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從遊戲中認識生活中常用到的錢幣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觀察錢幣及了解貨幣演進。透過故事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進一步瞭解儲蓄的重要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及養成先儲蓄後消費的好習慣。藉由遊戲及闖關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讓學生了解如何聰明消費及記帳。透過三個零錢筒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讓學生練習分配零用錢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讓零用錢發揮不同的功用。最後</w:t>
            </w:r>
            <w:r>
              <w:rPr>
                <w:rFonts w:ascii="標楷體-繁" w:cs="Arial Unicode MS" w:hAnsi="標楷體-繁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Arial Unicode MS" w:cs="Arial Unicode MS" w:hAnsi="Arial Unicode MS" w:eastAsia="標楷體-繁" w:hint="eastAs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28"/>
                <w:szCs w:val="28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用好玩的桌遊讓學生重複練習所學的儲蓄、消費及捐贈的理財知識。</w:t>
            </w:r>
          </w:p>
        </w:tc>
      </w:tr>
      <w:tr>
        <w:tblPrEx>
          <w:shd w:val="clear" w:color="auto" w:fill="ced7e7"/>
        </w:tblPrEx>
        <w:trPr>
          <w:trHeight w:val="2988" w:hRule="atLeast"/>
        </w:trPr>
        <w:tc>
          <w:tcPr>
            <w:tcW w:type="dxa" w:w="2463"/>
            <w:tcBorders>
              <w:top w:val="single" w:color="000000" w:sz="4" w:space="0" w:shadow="0" w:frame="0"/>
              <w:left w:val="single" w:color="000000" w:sz="12" w:space="0" w:shadow="0" w:frame="0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內文 A"/>
              <w:jc w:val="center"/>
            </w:pPr>
            <w:r>
              <w:rPr>
                <w:rFonts w:eastAsia="標楷體-繁" w:hint="eastAsia"/>
                <w:sz w:val="28"/>
                <w:szCs w:val="28"/>
                <w:shd w:val="nil" w:color="auto" w:fill="auto"/>
                <w:rtl w:val="0"/>
                <w:lang w:val="zh-TW" w:eastAsia="zh-TW"/>
              </w:rPr>
              <w:t>師資簡介</w:t>
            </w:r>
          </w:p>
        </w:tc>
        <w:tc>
          <w:tcPr>
            <w:tcW w:type="dxa" w:w="659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2" w:space="0" w:shadow="0" w:frame="0"/>
              <w:right w:val="single" w:color="000000" w:sz="1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spacing w:line="288" w:lineRule="auto"/>
              <w:ind w:left="0" w:right="0" w:firstLine="0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  <w:rtl w:val="0"/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莊敬國小 小小巴菲特理財</w:t>
            </w: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桌遊</w:t>
            </w: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社 社團老師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同德國小  小小巴菲特理財桌遊社 社團老師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光明國小  小小巴菲特理財</w:t>
            </w: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遊戲</w:t>
            </w: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社 暑期營隊老師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光明國小  彩虹故事媽媽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台北師大小大師 兒童理財老師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桃園家扶中心 兒童理財老師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  <w:rPr>
                <w:rFonts w:ascii="標楷體-繁" w:cs="標楷體-繁" w:hAnsi="標楷體-繁" w:eastAsia="標楷體-繁"/>
                <w:sz w:val="28"/>
                <w:szCs w:val="28"/>
                <w:u w:color="00000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蕭美雲</w:t>
            </w:r>
            <w:r>
              <w:rPr>
                <w:rFonts w:ascii="標楷體-繁" w:hAnsi="標楷體-繁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0953-951-697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pacing w:line="288" w:lineRule="auto"/>
              <w:jc w:val="left"/>
            </w:pPr>
            <w:r>
              <w:rPr>
                <w:rFonts w:eastAsia="標楷體-繁" w:hint="eastAsia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邵美慧</w:t>
            </w:r>
            <w:r>
              <w:rPr>
                <w:rFonts w:ascii="標楷體-繁" w:hAnsi="標楷體-繁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0922-836-826</w:t>
            </w:r>
          </w:p>
        </w:tc>
      </w:tr>
    </w:tbl>
    <w:p>
      <w:pPr>
        <w:pStyle w:val="內文 A"/>
        <w:jc w:val="center"/>
        <w:rPr>
          <w:rFonts w:ascii="標楷體-繁" w:cs="標楷體-繁" w:hAnsi="標楷體-繁" w:eastAsia="標楷體-繁"/>
          <w:sz w:val="32"/>
          <w:szCs w:val="32"/>
        </w:rPr>
      </w:pPr>
    </w:p>
    <w:p>
      <w:pPr>
        <w:pStyle w:val="內文 A"/>
        <w:jc w:val="both"/>
        <w:rPr>
          <w:rFonts w:ascii="標楷體-繁" w:cs="標楷體-繁" w:hAnsi="標楷體-繁" w:eastAsia="標楷體-繁"/>
          <w:sz w:val="26"/>
          <w:szCs w:val="26"/>
        </w:rPr>
      </w:pPr>
    </w:p>
    <w:p>
      <w:pPr>
        <w:pStyle w:val="內文 A"/>
        <w:jc w:val="center"/>
        <w:rPr>
          <w:b w:val="1"/>
          <w:bCs w:val="1"/>
          <w:sz w:val="40"/>
          <w:szCs w:val="40"/>
        </w:rPr>
      </w:pPr>
      <w:r>
        <w:rPr>
          <w:rFonts w:ascii="Times New Roman" w:hAnsi="Times New Roman"/>
          <w:b w:val="1"/>
          <w:bCs w:val="1"/>
          <w:sz w:val="40"/>
          <w:szCs w:val="40"/>
          <w:rtl w:val="0"/>
          <w:lang w:val="en-US"/>
        </w:rPr>
        <w:t>14</w:t>
      </w:r>
      <w:r>
        <w:rPr>
          <w:rFonts w:ascii="新細明體" w:cs="新細明體" w:hAnsi="新細明體" w:eastAsia="新細明體"/>
          <w:b w:val="1"/>
          <w:bCs w:val="1"/>
          <w:sz w:val="40"/>
          <w:szCs w:val="40"/>
          <w:rtl w:val="0"/>
          <w:lang w:val="zh-TW" w:eastAsia="zh-TW"/>
        </w:rPr>
        <w:t>週進度表</w:t>
      </w:r>
    </w:p>
    <w:tbl>
      <w:tblPr>
        <w:tblW w:w="1026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51"/>
        <w:gridCol w:w="2613"/>
        <w:gridCol w:w="4799"/>
      </w:tblGrid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   數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rtl w:val="0"/>
                <w:lang w:val="zh-TW" w:eastAsia="zh-TW"/>
              </w:rPr>
              <w:t>課 程 內 容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rtl w:val="0"/>
                <w:lang w:val="zh-TW" w:eastAsia="zh-TW"/>
              </w:rPr>
              <w:t>學 習 互 動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我與瑪尼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了解理財的重要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認識國內外錢幣。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2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交易大演進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CN" w:eastAsia="zh-CN"/>
                <w14:textOutline w14:w="12700" w14:cap="flat">
                  <w14:noFill/>
                  <w14:miter w14:lim="400000"/>
                </w14:textOutline>
              </w:rPr>
              <w:t>了解交易的重要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明白貨幣的演進。</w:t>
            </w:r>
          </w:p>
        </w:tc>
      </w:tr>
      <w:tr>
        <w:tblPrEx>
          <w:shd w:val="clear" w:color="auto" w:fill="ced7e7"/>
        </w:tblPrEx>
        <w:trPr>
          <w:trHeight w:val="112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3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聰明人的瑪尼公式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</w:pP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60" w:after="60"/>
              <w:ind w:left="280" w:hanging="280"/>
              <w:jc w:val="left"/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了解存錢的重要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養成先儲蓄後消費的好習慣。</w:t>
            </w:r>
          </w:p>
        </w:tc>
      </w:tr>
      <w:tr>
        <w:tblPrEx>
          <w:shd w:val="clear" w:color="auto" w:fill="ced7e7"/>
        </w:tblPrEx>
        <w:trPr>
          <w:trHeight w:val="82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4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夢想階梯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練習設定明確目標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計劃自己的儲蓄目標 。</w:t>
            </w:r>
          </w:p>
        </w:tc>
      </w:tr>
      <w:tr>
        <w:tblPrEx>
          <w:shd w:val="clear" w:color="auto" w:fill="ced7e7"/>
        </w:tblPrEx>
        <w:trPr>
          <w:trHeight w:val="87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5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瑪尼王國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60" w:after="60"/>
              <w:ind w:left="280" w:hanging="280"/>
              <w:jc w:val="center"/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夢想之塔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儲蓄桌遊熱身賽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60" w:after="60"/>
              <w:ind w:left="280" w:hanging="280"/>
              <w:jc w:val="left"/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短期儲蓄目標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先存後花</w:t>
            </w:r>
          </w:p>
        </w:tc>
      </w:tr>
      <w:tr>
        <w:tblPrEx>
          <w:shd w:val="clear" w:color="auto" w:fill="ced7e7"/>
        </w:tblPrEx>
        <w:trPr>
          <w:trHeight w:val="87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6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瑪尼王國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60" w:after="60"/>
              <w:ind w:left="280" w:hanging="280"/>
              <w:jc w:val="center"/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夢想之塔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儲蓄桌遊正式賽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60" w:after="60"/>
              <w:ind w:left="280" w:hanging="280"/>
              <w:jc w:val="left"/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長期儲蓄目標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先存後花</w:t>
            </w:r>
          </w:p>
        </w:tc>
      </w:tr>
      <w:tr>
        <w:tblPrEx>
          <w:shd w:val="clear" w:color="auto" w:fill="ced7e7"/>
        </w:tblPrEx>
        <w:trPr>
          <w:trHeight w:val="119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7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小小購物高手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  <w:t>1.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分辨需要與想要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  <w:t>2.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加強先儲蓄後消費的觀念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。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82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8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預算規劃小達人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有計劃的購物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練習規劃預算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記帳。</w:t>
            </w:r>
          </w:p>
        </w:tc>
      </w:tr>
      <w:tr>
        <w:tblPrEx>
          <w:shd w:val="clear" w:color="auto" w:fill="ced7e7"/>
        </w:tblPrEx>
        <w:trPr>
          <w:trHeight w:val="82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9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我的帳本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聰明購物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認清誇張不實的行銷手法。</w:t>
            </w:r>
          </w:p>
        </w:tc>
      </w:tr>
      <w:tr>
        <w:tblPrEx>
          <w:shd w:val="clear" w:color="auto" w:fill="ced7e7"/>
        </w:tblPrEx>
        <w:trPr>
          <w:trHeight w:val="119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10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CN" w:eastAsia="zh-CN"/>
                <w14:textOutline w14:w="12700" w14:cap="flat">
                  <w14:noFill/>
                  <w14:miter w14:lim="400000"/>
                </w14:textOutline>
              </w:rPr>
              <w:t>做善事存幸褔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  <w:t xml:space="preserve">1. 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了解分享的價值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  <w:t>2.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回饋社會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  <w:t>,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讓金錢更有意義</w:t>
            </w:r>
            <w:r>
              <w:rPr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u w:color="000000"/>
                <w:rtl w:val="0"/>
                <w:lang w:val="en-US"/>
              </w:rPr>
              <w:t>。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u w:color="000000"/>
                <w:rtl w:val="0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128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11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瑪尼王國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60" w:after="60"/>
              <w:ind w:left="280" w:hanging="280"/>
              <w:jc w:val="center"/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王國慶典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消費桌遊熱身賽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60" w:after="60"/>
              <w:ind w:left="280" w:hanging="280"/>
              <w:jc w:val="left"/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需要與想要的順序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預算規劃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記帳。</w:t>
            </w:r>
          </w:p>
        </w:tc>
      </w:tr>
      <w:tr>
        <w:tblPrEx>
          <w:shd w:val="clear" w:color="auto" w:fill="ced7e7"/>
        </w:tblPrEx>
        <w:trPr>
          <w:trHeight w:val="128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12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瑪尼王國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60" w:after="60"/>
              <w:ind w:left="280" w:hanging="280"/>
              <w:jc w:val="center"/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王國慶典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消費桌遊正式賽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60" w:after="60"/>
              <w:ind w:left="280" w:hanging="280"/>
              <w:jc w:val="left"/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需要與想要的次序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規劃預算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比價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記帳。</w:t>
            </w:r>
          </w:p>
        </w:tc>
      </w:tr>
      <w:tr>
        <w:tblPrEx>
          <w:shd w:val="clear" w:color="auto" w:fill="ced7e7"/>
        </w:tblPrEx>
        <w:trPr>
          <w:trHeight w:val="1282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13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280" w:right="0" w:hanging="28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CN" w:eastAsia="zh-CN"/>
                <w14:textOutline w14:w="12700" w14:cap="flat">
                  <w14:noFill/>
                  <w14:miter w14:lim="400000"/>
                </w14:textOutline>
              </w:rPr>
              <w:t>致富的秘訣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280" w:right="0" w:hanging="28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color="000000"/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儲蓄加消費桌遊</w:t>
            </w:r>
          </w:p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60" w:after="60"/>
              <w:ind w:left="280" w:hanging="280"/>
              <w:jc w:val="left"/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儲蓄目標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ja-JP" w:eastAsia="ja-JP"/>
                <w14:textOutline w14:w="12700" w14:cap="flat">
                  <w14:noFill/>
                  <w14:miter w14:lim="400000"/>
                </w14:textOutline>
              </w:rPr>
              <w:t>先存後花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聰明購物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捐贈</w:t>
            </w: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記帳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。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 A"/>
              <w:jc w:val="center"/>
            </w:pP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 xml:space="preserve">第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14 </w:t>
            </w:r>
            <w:r>
              <w:rPr>
                <w:rFonts w:ascii="新細明體" w:cs="新細明體" w:hAnsi="新細明體" w:eastAsia="新細明體" w:hint="eastAsia"/>
                <w:b w:val="1"/>
                <w:bCs w:val="1"/>
                <w:sz w:val="28"/>
                <w:szCs w:val="28"/>
                <w:shd w:val="nil" w:color="auto" w:fill="auto"/>
                <w:rtl w:val="0"/>
                <w:lang w:val="zh-TW" w:eastAsia="zh-TW"/>
              </w:rPr>
              <w:t>週</w:t>
            </w:r>
          </w:p>
        </w:tc>
        <w:tc>
          <w:tcPr>
            <w:tcW w:type="dxa" w:w="2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60" w:after="6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騎士頒獎</w:t>
            </w:r>
          </w:p>
        </w:tc>
        <w:tc>
          <w:tcPr>
            <w:tcW w:type="dxa" w:w="4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bidi w:val="0"/>
              <w:spacing w:before="6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DFKai-SB" w:cs="DFKai-SB" w:hAnsi="DFKai-SB" w:eastAsia="DFKai-SB"/>
                <w:b w:val="1"/>
                <w:bCs w:val="1"/>
                <w:sz w:val="28"/>
                <w:szCs w:val="28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1.</w:t>
            </w:r>
            <w:r>
              <w:rPr>
                <w:rFonts w:ascii="DFKai-SB" w:cs="DFKai-SB" w:hAnsi="DFKai-SB" w:eastAsia="DFKai-SB" w:hint="eastAsia"/>
                <w:b w:val="1"/>
                <w:bCs w:val="1"/>
                <w:sz w:val="28"/>
                <w:szCs w:val="28"/>
                <w:u w:color="000000"/>
                <w:rtl w:val="0"/>
                <w:lang w:val="zh-TW" w:eastAsia="zh-TW"/>
                <w14:textOutline w14:w="12700" w14:cap="flat">
                  <w14:noFill/>
                  <w14:miter w14:lim="400000"/>
                </w14:textOutline>
              </w:rPr>
              <w:t>課程總複習及頒發獎勵。</w:t>
            </w:r>
          </w:p>
        </w:tc>
      </w:tr>
    </w:tbl>
    <w:p>
      <w:pPr>
        <w:pStyle w:val="內文 A"/>
        <w:jc w:val="center"/>
        <w:rPr>
          <w:b w:val="1"/>
          <w:bCs w:val="1"/>
          <w:sz w:val="40"/>
          <w:szCs w:val="40"/>
        </w:rPr>
      </w:pPr>
    </w:p>
    <w:p>
      <w:pPr>
        <w:pStyle w:val="內文 A"/>
      </w:pPr>
    </w:p>
    <w:p>
      <w:pPr>
        <w:pStyle w:val="內文 A"/>
      </w:pPr>
    </w:p>
    <w:p>
      <w:pPr>
        <w:pStyle w:val="內文 A"/>
      </w:pPr>
    </w:p>
    <w:p>
      <w:pPr>
        <w:pStyle w:val="內文 A"/>
      </w:pPr>
      <w:r/>
    </w:p>
    <w:sectPr>
      <w:headerReference w:type="default" r:id="rId4"/>
      <w:footerReference w:type="default" r:id="rId5"/>
      <w:pgSz w:w="11900" w:h="16840" w:orient="portrait"/>
      <w:pgMar w:top="720" w:right="720" w:bottom="720" w:left="72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ingFang TC Regular">
    <w:charset w:val="00"/>
    <w:family w:val="roman"/>
    <w:pitch w:val="default"/>
  </w:font>
  <w:font w:name="標楷體-繁">
    <w:charset w:val="00"/>
    <w:family w:val="roman"/>
    <w:pitch w:val="default"/>
  </w:font>
  <w:font w:name="Cambria">
    <w:charset w:val="00"/>
    <w:family w:val="roman"/>
    <w:pitch w:val="default"/>
  </w:font>
  <w:font w:name="DFKai-SB">
    <w:charset w:val="00"/>
    <w:family w:val="roman"/>
    <w:pitch w:val="default"/>
  </w:font>
  <w:font w:name="新細明體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頁首與頁尾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頁首與頁尾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頁首與頁尾">
    <w:name w:val="頁首與頁尾"/>
    <w:next w:val="頁首與頁尾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ingFang TC Regular" w:cs="Arial Unicode MS" w:hAnsi="PingFang TC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內文 A">
    <w:name w:val="內文 A"/>
    <w:next w:val="內文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Times New Roman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內文">
    <w:name w:val="內文"/>
    <w:next w:val="內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PingFang TC Regular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zh-TW" w:eastAsia="zh-TW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PingFang TC Semibold"/>
        <a:cs typeface="PingFang TC Semibold"/>
      </a:majorFont>
      <a:minorFont>
        <a:latin typeface="PingFang TC Regular"/>
        <a:ea typeface="PingFang TC Regular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